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EE36E" w14:textId="77777777" w:rsidR="00F62428" w:rsidRDefault="00C8035A" w:rsidP="00C8035A">
      <w:pPr>
        <w:spacing w:after="0" w:line="240" w:lineRule="auto"/>
        <w:ind w:left="28" w:right="79" w:hanging="10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South Yorkshire Chaplaincy &amp; Listening Service</w:t>
      </w:r>
    </w:p>
    <w:p w14:paraId="1767C2EA" w14:textId="77777777" w:rsidR="003E47AC" w:rsidRDefault="00F105CA" w:rsidP="00C8035A">
      <w:pPr>
        <w:spacing w:after="0" w:line="240" w:lineRule="auto"/>
        <w:ind w:left="28" w:right="79" w:hanging="1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Finance Officer</w:t>
      </w:r>
    </w:p>
    <w:p w14:paraId="02AD3738" w14:textId="4365BA18" w:rsidR="00DE2FC4" w:rsidRPr="00DE2FC4" w:rsidRDefault="00DE2FC4" w:rsidP="00C8035A">
      <w:pPr>
        <w:spacing w:after="0" w:line="240" w:lineRule="auto"/>
        <w:ind w:left="28" w:right="79" w:hanging="10"/>
        <w:rPr>
          <w:b/>
          <w:color w:val="000000"/>
          <w:sz w:val="24"/>
          <w:szCs w:val="24"/>
        </w:rPr>
      </w:pPr>
    </w:p>
    <w:p w14:paraId="4A2C1943" w14:textId="38498B76" w:rsidR="00DE2FC4" w:rsidRPr="00DE2FC4" w:rsidRDefault="00B64190" w:rsidP="00C8035A">
      <w:pPr>
        <w:spacing w:after="0" w:line="240" w:lineRule="auto"/>
        <w:ind w:left="28" w:right="79" w:hanging="1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£</w:t>
      </w:r>
      <w:r w:rsidR="00F74534">
        <w:rPr>
          <w:b/>
          <w:color w:val="000000"/>
          <w:sz w:val="24"/>
          <w:szCs w:val="24"/>
        </w:rPr>
        <w:t>1</w:t>
      </w:r>
      <w:r w:rsidR="003545EF">
        <w:rPr>
          <w:b/>
          <w:color w:val="000000"/>
          <w:sz w:val="24"/>
          <w:szCs w:val="24"/>
        </w:rPr>
        <w:t>4,200</w:t>
      </w:r>
      <w:r w:rsidR="00257373">
        <w:rPr>
          <w:b/>
          <w:color w:val="000000"/>
          <w:sz w:val="24"/>
          <w:szCs w:val="24"/>
        </w:rPr>
        <w:t xml:space="preserve"> for </w:t>
      </w:r>
      <w:r w:rsidR="003545EF">
        <w:rPr>
          <w:b/>
          <w:color w:val="000000"/>
          <w:sz w:val="24"/>
          <w:szCs w:val="24"/>
        </w:rPr>
        <w:t>20</w:t>
      </w:r>
      <w:r w:rsidR="00257373">
        <w:rPr>
          <w:b/>
          <w:color w:val="000000"/>
          <w:sz w:val="24"/>
          <w:szCs w:val="24"/>
        </w:rPr>
        <w:t xml:space="preserve"> hours per week</w:t>
      </w:r>
      <w:r w:rsidR="00DE2FC4" w:rsidRPr="00DE2FC4">
        <w:rPr>
          <w:b/>
          <w:color w:val="000000"/>
          <w:sz w:val="24"/>
          <w:szCs w:val="24"/>
        </w:rPr>
        <w:t>; 3% contribution to auto-enrolment pension scheme; pro-rata 25 days annual leave + bank holidays</w:t>
      </w:r>
    </w:p>
    <w:p w14:paraId="18D208D8" w14:textId="77777777" w:rsidR="00F62428" w:rsidRDefault="00F62428">
      <w:pPr>
        <w:spacing w:after="120" w:line="240" w:lineRule="auto"/>
        <w:ind w:left="28" w:right="79" w:hanging="10"/>
        <w:rPr>
          <w:color w:val="000000"/>
        </w:rPr>
      </w:pPr>
    </w:p>
    <w:tbl>
      <w:tblPr>
        <w:tblStyle w:val="a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1"/>
        <w:gridCol w:w="7815"/>
      </w:tblGrid>
      <w:tr w:rsidR="00F62428" w14:paraId="4996419F" w14:textId="77777777">
        <w:tc>
          <w:tcPr>
            <w:tcW w:w="2641" w:type="dxa"/>
          </w:tcPr>
          <w:p w14:paraId="4CAA075B" w14:textId="77777777" w:rsidR="00F62428" w:rsidRDefault="000C390A">
            <w:pPr>
              <w:ind w:left="28" w:right="79" w:hanging="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Organisation</w:t>
            </w:r>
          </w:p>
          <w:p w14:paraId="31E91370" w14:textId="77777777" w:rsidR="00F62428" w:rsidRDefault="00F62428" w:rsidP="008B2062">
            <w:pPr>
              <w:ind w:right="79"/>
              <w:rPr>
                <w:color w:val="000000"/>
              </w:rPr>
            </w:pPr>
          </w:p>
        </w:tc>
        <w:tc>
          <w:tcPr>
            <w:tcW w:w="7815" w:type="dxa"/>
          </w:tcPr>
          <w:p w14:paraId="559B804F" w14:textId="77777777" w:rsidR="00F62428" w:rsidRDefault="002A3D5E">
            <w:pPr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>South Yorkshire Chaplaincy and Listening Service</w:t>
            </w:r>
          </w:p>
        </w:tc>
      </w:tr>
      <w:tr w:rsidR="00F62428" w14:paraId="4EF9457E" w14:textId="77777777">
        <w:tc>
          <w:tcPr>
            <w:tcW w:w="2641" w:type="dxa"/>
          </w:tcPr>
          <w:p w14:paraId="24605252" w14:textId="77777777" w:rsidR="00F62428" w:rsidRPr="008B2062" w:rsidRDefault="000C390A" w:rsidP="008B2062">
            <w:pPr>
              <w:ind w:left="28" w:right="79" w:hanging="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Website</w:t>
            </w:r>
          </w:p>
          <w:p w14:paraId="1E42DA4D" w14:textId="77777777" w:rsidR="00F62428" w:rsidRDefault="00F62428">
            <w:pPr>
              <w:ind w:left="28" w:right="79" w:hanging="10"/>
              <w:rPr>
                <w:color w:val="000000"/>
              </w:rPr>
            </w:pPr>
          </w:p>
        </w:tc>
        <w:tc>
          <w:tcPr>
            <w:tcW w:w="7815" w:type="dxa"/>
          </w:tcPr>
          <w:p w14:paraId="05BD6C88" w14:textId="77777777" w:rsidR="00F62428" w:rsidRDefault="00176133">
            <w:pPr>
              <w:ind w:left="28" w:right="79" w:hanging="10"/>
              <w:rPr>
                <w:color w:val="000000"/>
              </w:rPr>
            </w:pPr>
            <w:hyperlink r:id="rId8" w:history="1">
              <w:r w:rsidR="00B64190" w:rsidRPr="00F01648">
                <w:rPr>
                  <w:rStyle w:val="Hyperlink"/>
                </w:rPr>
                <w:t>www.sycls.co.uk</w:t>
              </w:r>
            </w:hyperlink>
          </w:p>
        </w:tc>
      </w:tr>
      <w:tr w:rsidR="00F62428" w14:paraId="7DD0F14E" w14:textId="77777777">
        <w:tc>
          <w:tcPr>
            <w:tcW w:w="2641" w:type="dxa"/>
          </w:tcPr>
          <w:p w14:paraId="4BEBD36E" w14:textId="77777777" w:rsidR="00F62428" w:rsidRDefault="000C390A">
            <w:pPr>
              <w:ind w:left="28" w:right="79" w:hanging="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Address </w:t>
            </w:r>
          </w:p>
          <w:p w14:paraId="311B08F1" w14:textId="77777777" w:rsidR="00F62428" w:rsidRDefault="00F62428">
            <w:pPr>
              <w:ind w:left="28" w:right="79" w:hanging="10"/>
              <w:rPr>
                <w:color w:val="000000"/>
              </w:rPr>
            </w:pPr>
          </w:p>
          <w:p w14:paraId="7532C131" w14:textId="77777777" w:rsidR="00F62428" w:rsidRDefault="00F62428">
            <w:pPr>
              <w:ind w:left="28" w:right="79" w:hanging="10"/>
              <w:rPr>
                <w:color w:val="000000"/>
              </w:rPr>
            </w:pPr>
          </w:p>
          <w:p w14:paraId="372A651F" w14:textId="77777777" w:rsidR="00F62428" w:rsidRDefault="00F62428">
            <w:pPr>
              <w:ind w:left="28" w:right="79" w:hanging="10"/>
              <w:rPr>
                <w:color w:val="000000"/>
              </w:rPr>
            </w:pPr>
          </w:p>
        </w:tc>
        <w:tc>
          <w:tcPr>
            <w:tcW w:w="7815" w:type="dxa"/>
          </w:tcPr>
          <w:p w14:paraId="70761486" w14:textId="77777777" w:rsidR="00F62428" w:rsidRDefault="002A3D5E">
            <w:pPr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>Alpha House</w:t>
            </w:r>
          </w:p>
          <w:p w14:paraId="7CFE56B5" w14:textId="77777777" w:rsidR="002A3D5E" w:rsidRDefault="002A3D5E">
            <w:pPr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>10 Carver Street</w:t>
            </w:r>
          </w:p>
          <w:p w14:paraId="44514BAC" w14:textId="77777777" w:rsidR="002A3D5E" w:rsidRDefault="002A3D5E">
            <w:pPr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>Sheffield, S1 4FS</w:t>
            </w:r>
          </w:p>
        </w:tc>
      </w:tr>
      <w:tr w:rsidR="00F62428" w14:paraId="13E5BA77" w14:textId="77777777">
        <w:tc>
          <w:tcPr>
            <w:tcW w:w="2641" w:type="dxa"/>
          </w:tcPr>
          <w:p w14:paraId="53C625C9" w14:textId="77777777" w:rsidR="00F62428" w:rsidRDefault="005E1F99">
            <w:pPr>
              <w:ind w:left="28" w:right="79" w:hanging="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Organisation </w:t>
            </w:r>
            <w:r w:rsidR="000C390A">
              <w:rPr>
                <w:b/>
                <w:color w:val="000000"/>
              </w:rPr>
              <w:t>Background Information</w:t>
            </w:r>
          </w:p>
          <w:p w14:paraId="73A471F3" w14:textId="77777777" w:rsidR="00F62428" w:rsidRDefault="000C390A">
            <w:pPr>
              <w:ind w:left="28" w:right="79" w:hanging="1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14:paraId="06B460A1" w14:textId="77777777" w:rsidR="00F62428" w:rsidRDefault="00F62428">
            <w:pPr>
              <w:ind w:left="28" w:right="79" w:hanging="10"/>
              <w:rPr>
                <w:color w:val="000000"/>
              </w:rPr>
            </w:pPr>
          </w:p>
          <w:p w14:paraId="50EBC2F3" w14:textId="77777777" w:rsidR="00F62428" w:rsidRDefault="00F62428">
            <w:pPr>
              <w:ind w:left="28" w:right="79" w:hanging="10"/>
              <w:rPr>
                <w:color w:val="000000"/>
              </w:rPr>
            </w:pPr>
          </w:p>
        </w:tc>
        <w:tc>
          <w:tcPr>
            <w:tcW w:w="7815" w:type="dxa"/>
          </w:tcPr>
          <w:p w14:paraId="7FA2C289" w14:textId="3C460E9C" w:rsidR="00F62428" w:rsidRPr="00C52838" w:rsidRDefault="002A3D5E">
            <w:pPr>
              <w:ind w:left="28" w:right="79" w:hanging="10"/>
              <w:rPr>
                <w:color w:val="FF0000"/>
              </w:rPr>
            </w:pPr>
            <w:r>
              <w:rPr>
                <w:color w:val="000000"/>
              </w:rPr>
              <w:t>We are a small</w:t>
            </w:r>
            <w:r w:rsidR="00C8035A">
              <w:rPr>
                <w:color w:val="000000"/>
              </w:rPr>
              <w:t>, rapidly expanding,</w:t>
            </w:r>
            <w:r>
              <w:rPr>
                <w:color w:val="000000"/>
              </w:rPr>
              <w:t xml:space="preserve"> charity (CIO 1174021) whos</w:t>
            </w:r>
            <w:r w:rsidR="00A33227">
              <w:rPr>
                <w:color w:val="000000"/>
              </w:rPr>
              <w:t>e</w:t>
            </w:r>
            <w:r>
              <w:rPr>
                <w:color w:val="000000"/>
              </w:rPr>
              <w:t xml:space="preserve"> stated objective is ‘the preservation and protection of good physical and mental health through the provision of Listening and Chaplaincy Services and confidential Pastoral Care and advice</w:t>
            </w:r>
            <w:r w:rsidR="00A33227">
              <w:rPr>
                <w:color w:val="000000"/>
              </w:rPr>
              <w:t xml:space="preserve"> for individuals both inside and outside the workplace throughout South Yorkshire.” </w:t>
            </w:r>
            <w:r w:rsidR="00CE6154">
              <w:rPr>
                <w:color w:val="000000"/>
              </w:rPr>
              <w:t>At our core is the Christian ethos to car</w:t>
            </w:r>
            <w:r w:rsidR="003D1D9E">
              <w:rPr>
                <w:color w:val="000000"/>
              </w:rPr>
              <w:t>e holistically for</w:t>
            </w:r>
            <w:r w:rsidR="00941767">
              <w:rPr>
                <w:color w:val="000000"/>
              </w:rPr>
              <w:t xml:space="preserve"> </w:t>
            </w:r>
            <w:r w:rsidR="003D1D9E">
              <w:rPr>
                <w:color w:val="000000"/>
              </w:rPr>
              <w:t>people</w:t>
            </w:r>
            <w:r w:rsidR="00257373">
              <w:rPr>
                <w:color w:val="000000"/>
              </w:rPr>
              <w:t xml:space="preserve"> and we provide emotional, mental health and/or spiritual support as a one-off or on a continuing basis</w:t>
            </w:r>
            <w:r w:rsidR="003D1D9E">
              <w:rPr>
                <w:color w:val="000000"/>
              </w:rPr>
              <w:t>. Essentially, we are an independent, confidential service supporting people</w:t>
            </w:r>
            <w:r w:rsidR="00B35E73">
              <w:rPr>
                <w:color w:val="000000"/>
              </w:rPr>
              <w:t xml:space="preserve"> through the challenges of life</w:t>
            </w:r>
            <w:r w:rsidR="00257373">
              <w:rPr>
                <w:color w:val="000000"/>
              </w:rPr>
              <w:t>.</w:t>
            </w:r>
          </w:p>
          <w:p w14:paraId="220DEEF1" w14:textId="77777777" w:rsidR="00F62428" w:rsidRDefault="00F62428">
            <w:pPr>
              <w:ind w:left="28" w:right="79" w:hanging="10"/>
              <w:rPr>
                <w:color w:val="000000"/>
              </w:rPr>
            </w:pPr>
          </w:p>
          <w:p w14:paraId="0B94600E" w14:textId="3D0B383F" w:rsidR="00F62428" w:rsidRDefault="00A33227" w:rsidP="00C60C8D">
            <w:pPr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>We partner with organisations to support them in providing a culture and environment of holistic well-being</w:t>
            </w:r>
            <w:r w:rsidR="00C60C8D">
              <w:rPr>
                <w:color w:val="000000"/>
              </w:rPr>
              <w:t xml:space="preserve"> for the people within their care</w:t>
            </w:r>
            <w:r w:rsidR="003D1D9E">
              <w:rPr>
                <w:color w:val="000000"/>
              </w:rPr>
              <w:t xml:space="preserve">; </w:t>
            </w:r>
            <w:r w:rsidR="00AF10A5">
              <w:rPr>
                <w:color w:val="000000"/>
              </w:rPr>
              <w:t xml:space="preserve">and empower local volunteers </w:t>
            </w:r>
            <w:r w:rsidR="003D1D9E">
              <w:rPr>
                <w:color w:val="000000"/>
              </w:rPr>
              <w:t>to engage with those facing life’s challenges</w:t>
            </w:r>
            <w:r>
              <w:rPr>
                <w:color w:val="000000"/>
              </w:rPr>
              <w:t>. This means our</w:t>
            </w:r>
            <w:r w:rsidR="0025737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Listener</w:t>
            </w:r>
            <w:r w:rsidR="00BF43EF">
              <w:rPr>
                <w:color w:val="000000"/>
              </w:rPr>
              <w:t>s and Chaplains operate</w:t>
            </w:r>
            <w:r>
              <w:rPr>
                <w:color w:val="000000"/>
              </w:rPr>
              <w:t xml:space="preserve"> within a wide range of contexts: Primary and Secondary Care, Businesses, Engineering, Schools, Sports Clubs, Fire Service, working with Patients and their Families, Staff, Students, Local community. </w:t>
            </w:r>
            <w:r w:rsidR="00BF43EF">
              <w:rPr>
                <w:color w:val="000000"/>
              </w:rPr>
              <w:t>We work with orga</w:t>
            </w:r>
            <w:r w:rsidR="00C60C8D">
              <w:rPr>
                <w:color w:val="000000"/>
              </w:rPr>
              <w:t xml:space="preserve">nisations on an on-going basis </w:t>
            </w:r>
            <w:r w:rsidR="00BF43EF">
              <w:rPr>
                <w:color w:val="000000"/>
              </w:rPr>
              <w:t xml:space="preserve">but also respond to an organisation following a specific crisis or issue. In </w:t>
            </w:r>
            <w:proofErr w:type="gramStart"/>
            <w:r w:rsidR="00BF43EF">
              <w:rPr>
                <w:color w:val="000000"/>
              </w:rPr>
              <w:t>addition</w:t>
            </w:r>
            <w:proofErr w:type="gramEnd"/>
            <w:r w:rsidR="00BF43EF">
              <w:rPr>
                <w:color w:val="000000"/>
              </w:rPr>
              <w:t xml:space="preserve"> we provide training in Listening Skills and other well-being related subjects.</w:t>
            </w:r>
          </w:p>
          <w:p w14:paraId="5635BE05" w14:textId="77777777" w:rsidR="00BF7666" w:rsidRDefault="00BF7666" w:rsidP="00C60C8D">
            <w:pPr>
              <w:ind w:left="28" w:right="79" w:hanging="10"/>
              <w:rPr>
                <w:color w:val="000000"/>
              </w:rPr>
            </w:pPr>
          </w:p>
          <w:p w14:paraId="66C7A3D9" w14:textId="77777777" w:rsidR="00BF7666" w:rsidRDefault="00BF7666" w:rsidP="007321F2">
            <w:pPr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>Our partnership approach means emotional support is offered within a community context, not only supporting individuals, but supporting that community to provide an enhanced culture of well-being.</w:t>
            </w:r>
          </w:p>
        </w:tc>
      </w:tr>
    </w:tbl>
    <w:p w14:paraId="6F2F19A8" w14:textId="77777777" w:rsidR="00F62428" w:rsidRDefault="00F62428">
      <w:pPr>
        <w:spacing w:after="120" w:line="240" w:lineRule="auto"/>
        <w:ind w:left="28" w:right="79" w:hanging="10"/>
        <w:rPr>
          <w:color w:val="000000"/>
        </w:rPr>
      </w:pPr>
    </w:p>
    <w:tbl>
      <w:tblPr>
        <w:tblStyle w:val="a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1"/>
        <w:gridCol w:w="7815"/>
      </w:tblGrid>
      <w:tr w:rsidR="00F62428" w14:paraId="78495BC5" w14:textId="77777777">
        <w:tc>
          <w:tcPr>
            <w:tcW w:w="2641" w:type="dxa"/>
          </w:tcPr>
          <w:p w14:paraId="7CF8253C" w14:textId="77777777" w:rsidR="00F62428" w:rsidRDefault="00C8035A" w:rsidP="00C8035A">
            <w:pPr>
              <w:spacing w:after="120" w:line="249" w:lineRule="auto"/>
              <w:ind w:left="28" w:right="79" w:hanging="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Primary Focus of this role</w:t>
            </w:r>
          </w:p>
        </w:tc>
        <w:tc>
          <w:tcPr>
            <w:tcW w:w="7815" w:type="dxa"/>
          </w:tcPr>
          <w:p w14:paraId="56B95B84" w14:textId="77777777" w:rsidR="00F62428" w:rsidRDefault="000C390A">
            <w:pPr>
              <w:spacing w:after="120" w:line="249" w:lineRule="auto"/>
              <w:ind w:left="28" w:right="79" w:hanging="1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Key aims and objectives</w:t>
            </w:r>
          </w:p>
          <w:p w14:paraId="1FF8C660" w14:textId="58611D48" w:rsidR="00F105CA" w:rsidRPr="00510E65" w:rsidRDefault="00A24EDA" w:rsidP="00F105CA">
            <w:pPr>
              <w:rPr>
                <w:rFonts w:asciiTheme="majorHAnsi" w:hAnsiTheme="majorHAnsi" w:cstheme="majorHAnsi"/>
              </w:rPr>
            </w:pPr>
            <w:r w:rsidRPr="00A24EDA">
              <w:rPr>
                <w:rFonts w:asciiTheme="majorHAnsi" w:hAnsiTheme="majorHAnsi" w:cstheme="majorHAnsi"/>
              </w:rPr>
              <w:t>T</w:t>
            </w:r>
            <w:r w:rsidR="00F105CA" w:rsidRPr="00510E65">
              <w:rPr>
                <w:rFonts w:asciiTheme="majorHAnsi" w:hAnsiTheme="majorHAnsi" w:cstheme="majorHAnsi"/>
              </w:rPr>
              <w:t>o help advance and develop the day-to-day efficiency and sustainability of the charity’s finances</w:t>
            </w:r>
            <w:r w:rsidR="00156EE4">
              <w:rPr>
                <w:rFonts w:asciiTheme="majorHAnsi" w:hAnsiTheme="majorHAnsi" w:cstheme="majorHAnsi"/>
              </w:rPr>
              <w:t xml:space="preserve">, </w:t>
            </w:r>
            <w:r w:rsidR="006E3DC6">
              <w:rPr>
                <w:rFonts w:asciiTheme="majorHAnsi" w:hAnsiTheme="majorHAnsi" w:cstheme="majorHAnsi"/>
              </w:rPr>
              <w:t>r</w:t>
            </w:r>
            <w:r w:rsidR="00F105CA" w:rsidRPr="00510E65">
              <w:rPr>
                <w:rFonts w:asciiTheme="majorHAnsi" w:hAnsiTheme="majorHAnsi" w:cstheme="majorHAnsi"/>
              </w:rPr>
              <w:t>esponsib</w:t>
            </w:r>
            <w:r w:rsidR="006E3DC6">
              <w:rPr>
                <w:rFonts w:asciiTheme="majorHAnsi" w:hAnsiTheme="majorHAnsi" w:cstheme="majorHAnsi"/>
              </w:rPr>
              <w:t>le</w:t>
            </w:r>
            <w:r w:rsidR="00F105CA" w:rsidRPr="00510E65">
              <w:rPr>
                <w:rFonts w:asciiTheme="majorHAnsi" w:hAnsiTheme="majorHAnsi" w:cstheme="majorHAnsi"/>
              </w:rPr>
              <w:t xml:space="preserve"> for the day-to-day financial activities of the charity, including budget management and contributing to management reports.</w:t>
            </w:r>
          </w:p>
          <w:p w14:paraId="25DF082D" w14:textId="77777777" w:rsidR="00BF43EF" w:rsidRPr="00BF43EF" w:rsidRDefault="00BF43EF" w:rsidP="00F105CA">
            <w:pPr>
              <w:jc w:val="both"/>
              <w:rPr>
                <w:color w:val="000000"/>
              </w:rPr>
            </w:pPr>
          </w:p>
        </w:tc>
      </w:tr>
      <w:tr w:rsidR="00F62428" w14:paraId="3289D7A6" w14:textId="77777777">
        <w:tc>
          <w:tcPr>
            <w:tcW w:w="2641" w:type="dxa"/>
          </w:tcPr>
          <w:p w14:paraId="315281F7" w14:textId="77777777" w:rsidR="00F62428" w:rsidRDefault="008B2062">
            <w:pPr>
              <w:spacing w:after="120" w:line="249" w:lineRule="auto"/>
              <w:ind w:left="28" w:right="79" w:hanging="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Overview of Role</w:t>
            </w:r>
          </w:p>
        </w:tc>
        <w:tc>
          <w:tcPr>
            <w:tcW w:w="7815" w:type="dxa"/>
          </w:tcPr>
          <w:p w14:paraId="45509BB3" w14:textId="77777777" w:rsidR="00F62428" w:rsidRDefault="00CE6154">
            <w:pPr>
              <w:spacing w:after="120" w:line="249" w:lineRule="auto"/>
              <w:ind w:left="28" w:right="79" w:hanging="1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What will the job</w:t>
            </w:r>
            <w:r w:rsidR="000C390A">
              <w:rPr>
                <w:i/>
                <w:color w:val="000000"/>
              </w:rPr>
              <w:t xml:space="preserve"> entail (</w:t>
            </w:r>
            <w:proofErr w:type="gramStart"/>
            <w:r w:rsidR="000C390A">
              <w:rPr>
                <w:i/>
                <w:color w:val="000000"/>
              </w:rPr>
              <w:t>briefly)</w:t>
            </w:r>
            <w:proofErr w:type="gramEnd"/>
          </w:p>
          <w:p w14:paraId="4071F9FE" w14:textId="77777777" w:rsidR="00B64190" w:rsidRDefault="00FD4328">
            <w:pPr>
              <w:spacing w:after="120" w:line="249" w:lineRule="auto"/>
              <w:ind w:left="28" w:right="79" w:hanging="10"/>
              <w:rPr>
                <w:rFonts w:asciiTheme="majorHAnsi" w:hAnsiTheme="majorHAnsi" w:cstheme="majorHAnsi"/>
                <w:color w:val="202124"/>
                <w:shd w:val="clear" w:color="auto" w:fill="FFFFFF"/>
              </w:rPr>
            </w:pPr>
            <w:r w:rsidRPr="00FD4328">
              <w:rPr>
                <w:rFonts w:asciiTheme="majorHAnsi" w:hAnsiTheme="majorHAnsi" w:cstheme="majorHAnsi"/>
                <w:color w:val="202124"/>
                <w:shd w:val="clear" w:color="auto" w:fill="FFFFFF"/>
              </w:rPr>
              <w:t>This role involves a</w:t>
            </w:r>
            <w:r w:rsidR="00B64190" w:rsidRPr="00FD4328">
              <w:rPr>
                <w:rFonts w:asciiTheme="majorHAnsi" w:hAnsiTheme="majorHAnsi" w:cstheme="majorHAnsi"/>
                <w:color w:val="202124"/>
                <w:shd w:val="clear" w:color="auto" w:fill="FFFFFF"/>
              </w:rPr>
              <w:t xml:space="preserve"> range of tasks primarily related to the processing and reporting of financial activities.</w:t>
            </w:r>
          </w:p>
          <w:p w14:paraId="6F90688D" w14:textId="3126F88F" w:rsidR="00FD4328" w:rsidRDefault="00FD4328" w:rsidP="00FD4328">
            <w:pPr>
              <w:pStyle w:val="ListParagraph"/>
              <w:numPr>
                <w:ilvl w:val="0"/>
                <w:numId w:val="4"/>
              </w:numPr>
              <w:spacing w:after="120" w:line="249" w:lineRule="auto"/>
              <w:ind w:right="79"/>
              <w:rPr>
                <w:rFonts w:asciiTheme="majorHAnsi" w:hAnsiTheme="majorHAnsi" w:cstheme="majorHAnsi"/>
                <w:color w:val="000000"/>
              </w:rPr>
            </w:pPr>
            <w:r w:rsidRPr="00510E65">
              <w:rPr>
                <w:rFonts w:asciiTheme="majorHAnsi" w:hAnsiTheme="majorHAnsi" w:cstheme="majorHAnsi"/>
                <w:b/>
                <w:color w:val="000000"/>
              </w:rPr>
              <w:t>Day-to-day financial administration</w:t>
            </w:r>
            <w:r w:rsidR="00510E65">
              <w:rPr>
                <w:rFonts w:asciiTheme="majorHAnsi" w:hAnsiTheme="majorHAnsi" w:cstheme="majorHAnsi"/>
                <w:color w:val="000000"/>
              </w:rPr>
              <w:t>:</w:t>
            </w:r>
            <w:r>
              <w:rPr>
                <w:rFonts w:asciiTheme="majorHAnsi" w:hAnsiTheme="majorHAnsi" w:cstheme="majorHAnsi"/>
                <w:color w:val="000000"/>
              </w:rPr>
              <w:t xml:space="preserve"> Responsibility for regular tasks such as issuing invoices, payments and receipts; collecting payments; occasionally paying in cash and cheques</w:t>
            </w:r>
            <w:r w:rsidR="005242CD">
              <w:rPr>
                <w:rFonts w:asciiTheme="majorHAnsi" w:hAnsiTheme="majorHAnsi" w:cstheme="majorHAnsi"/>
                <w:color w:val="000000"/>
              </w:rPr>
              <w:t>, using the online banking system</w:t>
            </w:r>
            <w:r w:rsidR="00A24EDA">
              <w:rPr>
                <w:rFonts w:asciiTheme="majorHAnsi" w:hAnsiTheme="majorHAnsi" w:cstheme="majorHAnsi"/>
                <w:color w:val="000000"/>
              </w:rPr>
              <w:t>, purchasing of office supplies</w:t>
            </w:r>
            <w:r w:rsidR="00C52838">
              <w:rPr>
                <w:rFonts w:asciiTheme="majorHAnsi" w:hAnsiTheme="majorHAnsi" w:cstheme="majorHAnsi"/>
                <w:color w:val="000000"/>
              </w:rPr>
              <w:t>, ensuring staff and volunteer expenses are reimbursed in a timely manner</w:t>
            </w:r>
          </w:p>
          <w:p w14:paraId="1207DCEA" w14:textId="77777777" w:rsidR="00C93AC8" w:rsidRDefault="00C93AC8" w:rsidP="00C93AC8">
            <w:pPr>
              <w:pStyle w:val="ListParagraph"/>
              <w:spacing w:after="120" w:line="249" w:lineRule="auto"/>
              <w:ind w:left="388" w:right="79"/>
              <w:rPr>
                <w:rFonts w:asciiTheme="majorHAnsi" w:hAnsiTheme="majorHAnsi" w:cstheme="majorHAnsi"/>
                <w:color w:val="000000"/>
              </w:rPr>
            </w:pPr>
          </w:p>
          <w:p w14:paraId="52B2C1DE" w14:textId="38151900" w:rsidR="00C93AC8" w:rsidRDefault="00FD4328" w:rsidP="00C93AC8">
            <w:pPr>
              <w:pStyle w:val="ListParagraph"/>
              <w:numPr>
                <w:ilvl w:val="0"/>
                <w:numId w:val="4"/>
              </w:numPr>
              <w:spacing w:after="120" w:line="249" w:lineRule="auto"/>
              <w:ind w:right="79"/>
              <w:rPr>
                <w:rFonts w:asciiTheme="majorHAnsi" w:hAnsiTheme="majorHAnsi" w:cstheme="majorHAnsi"/>
                <w:color w:val="000000"/>
              </w:rPr>
            </w:pPr>
            <w:r w:rsidRPr="00510E65">
              <w:rPr>
                <w:rFonts w:asciiTheme="majorHAnsi" w:hAnsiTheme="majorHAnsi" w:cstheme="majorHAnsi"/>
                <w:b/>
                <w:color w:val="000000"/>
              </w:rPr>
              <w:lastRenderedPageBreak/>
              <w:t>Maintaining accurate accounting records</w:t>
            </w:r>
            <w:r w:rsidR="00510E65">
              <w:rPr>
                <w:rFonts w:asciiTheme="majorHAnsi" w:hAnsiTheme="majorHAnsi" w:cstheme="majorHAnsi"/>
                <w:color w:val="000000"/>
              </w:rPr>
              <w:t>:</w:t>
            </w:r>
            <w:r>
              <w:rPr>
                <w:rFonts w:asciiTheme="majorHAnsi" w:hAnsiTheme="majorHAnsi" w:cstheme="majorHAnsi"/>
                <w:color w:val="000000"/>
              </w:rPr>
              <w:t xml:space="preserve"> Developing and administering the accounting system, </w:t>
            </w:r>
            <w:r w:rsidR="00C93AC8">
              <w:rPr>
                <w:rFonts w:asciiTheme="majorHAnsi" w:hAnsiTheme="majorHAnsi" w:cstheme="majorHAnsi"/>
                <w:color w:val="000000"/>
              </w:rPr>
              <w:t>capturing different budget income and expenditure, tracking cash flow and ensuring month and year end reconciliation.</w:t>
            </w:r>
            <w:r w:rsidR="00446656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  <w:p w14:paraId="2EC438B7" w14:textId="77777777" w:rsidR="00C93AC8" w:rsidRPr="00C93AC8" w:rsidRDefault="00C93AC8" w:rsidP="00C93AC8">
            <w:pPr>
              <w:pStyle w:val="ListParagraph"/>
              <w:rPr>
                <w:rFonts w:asciiTheme="majorHAnsi" w:hAnsiTheme="majorHAnsi" w:cstheme="majorHAnsi"/>
                <w:color w:val="000000"/>
              </w:rPr>
            </w:pPr>
          </w:p>
          <w:p w14:paraId="787B7589" w14:textId="1C6CDC42" w:rsidR="00C93AC8" w:rsidRDefault="00C93AC8" w:rsidP="00FD4328">
            <w:pPr>
              <w:pStyle w:val="ListParagraph"/>
              <w:numPr>
                <w:ilvl w:val="0"/>
                <w:numId w:val="4"/>
              </w:numPr>
              <w:spacing w:after="120" w:line="249" w:lineRule="auto"/>
              <w:ind w:right="79"/>
              <w:rPr>
                <w:rFonts w:asciiTheme="majorHAnsi" w:hAnsiTheme="majorHAnsi" w:cstheme="majorHAnsi"/>
                <w:color w:val="000000"/>
              </w:rPr>
            </w:pPr>
            <w:r w:rsidRPr="00510E65">
              <w:rPr>
                <w:rFonts w:asciiTheme="majorHAnsi" w:hAnsiTheme="majorHAnsi" w:cstheme="majorHAnsi"/>
                <w:b/>
                <w:color w:val="000000"/>
              </w:rPr>
              <w:t>Budget management</w:t>
            </w:r>
            <w:r w:rsidR="00510E65">
              <w:rPr>
                <w:rFonts w:asciiTheme="majorHAnsi" w:hAnsiTheme="majorHAnsi" w:cstheme="majorHAnsi"/>
                <w:color w:val="000000"/>
              </w:rPr>
              <w:t>:</w:t>
            </w:r>
            <w:r>
              <w:rPr>
                <w:rFonts w:asciiTheme="majorHAnsi" w:hAnsiTheme="majorHAnsi" w:cstheme="majorHAnsi"/>
                <w:color w:val="000000"/>
              </w:rPr>
              <w:t xml:space="preserve"> Having an up-to-date knowledge of the current budget including grant allocated funding and ensur</w:t>
            </w:r>
            <w:r w:rsidR="002E72C1">
              <w:rPr>
                <w:rFonts w:asciiTheme="majorHAnsi" w:hAnsiTheme="majorHAnsi" w:cstheme="majorHAnsi"/>
                <w:color w:val="000000"/>
              </w:rPr>
              <w:t>ing</w:t>
            </w:r>
            <w:r>
              <w:rPr>
                <w:rFonts w:asciiTheme="majorHAnsi" w:hAnsiTheme="majorHAnsi" w:cstheme="majorHAnsi"/>
                <w:color w:val="000000"/>
              </w:rPr>
              <w:t xml:space="preserve"> that income and expenditure is tracked against these budgets. Keeping the CEOs regularly informed on performance against budget, identifying at the earliest opportunity potential over- or under-spends as well as any unallocated finances. On a quarterly basis work</w:t>
            </w:r>
            <w:r w:rsidR="009052B9">
              <w:rPr>
                <w:rFonts w:asciiTheme="majorHAnsi" w:hAnsiTheme="majorHAnsi" w:cstheme="majorHAnsi"/>
                <w:color w:val="000000"/>
              </w:rPr>
              <w:t>ing</w:t>
            </w:r>
            <w:r>
              <w:rPr>
                <w:rFonts w:asciiTheme="majorHAnsi" w:hAnsiTheme="majorHAnsi" w:cstheme="majorHAnsi"/>
                <w:color w:val="000000"/>
              </w:rPr>
              <w:t xml:space="preserve"> with the CEOs to forecast the coming period.</w:t>
            </w:r>
            <w:r w:rsidR="00446656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  <w:p w14:paraId="33590A19" w14:textId="77777777" w:rsidR="008F0CC3" w:rsidRPr="008F0CC3" w:rsidRDefault="008F0CC3" w:rsidP="008F0CC3">
            <w:pPr>
              <w:pStyle w:val="ListParagraph"/>
              <w:rPr>
                <w:rFonts w:asciiTheme="majorHAnsi" w:hAnsiTheme="majorHAnsi" w:cstheme="majorHAnsi"/>
                <w:color w:val="000000"/>
              </w:rPr>
            </w:pPr>
          </w:p>
          <w:p w14:paraId="79E52856" w14:textId="77777777" w:rsidR="00C93AC8" w:rsidRDefault="00C93AC8" w:rsidP="00FD4328">
            <w:pPr>
              <w:pStyle w:val="ListParagraph"/>
              <w:numPr>
                <w:ilvl w:val="0"/>
                <w:numId w:val="4"/>
              </w:numPr>
              <w:spacing w:after="120" w:line="249" w:lineRule="auto"/>
              <w:ind w:right="79"/>
              <w:rPr>
                <w:rFonts w:asciiTheme="majorHAnsi" w:hAnsiTheme="majorHAnsi" w:cstheme="majorHAnsi"/>
                <w:color w:val="000000"/>
              </w:rPr>
            </w:pPr>
            <w:r w:rsidRPr="00510E65">
              <w:rPr>
                <w:rFonts w:asciiTheme="majorHAnsi" w:hAnsiTheme="majorHAnsi" w:cstheme="majorHAnsi"/>
                <w:b/>
                <w:color w:val="000000"/>
              </w:rPr>
              <w:t>Reporting</w:t>
            </w:r>
            <w:r w:rsidR="00510E65">
              <w:rPr>
                <w:rFonts w:asciiTheme="majorHAnsi" w:hAnsiTheme="majorHAnsi" w:cstheme="majorHAnsi"/>
                <w:color w:val="000000"/>
              </w:rPr>
              <w:t>:</w:t>
            </w:r>
            <w:r>
              <w:rPr>
                <w:rFonts w:asciiTheme="majorHAnsi" w:hAnsiTheme="majorHAnsi" w:cstheme="majorHAnsi"/>
                <w:color w:val="000000"/>
              </w:rPr>
              <w:t xml:space="preserve"> Preparing monthly management reports for the CEOs and supporting in the provision of information required for the year-end report to the charity commission and other reporting requirements.</w:t>
            </w:r>
          </w:p>
          <w:p w14:paraId="6749617A" w14:textId="77777777" w:rsidR="008F0CC3" w:rsidRPr="008F0CC3" w:rsidRDefault="008F0CC3" w:rsidP="008F0CC3">
            <w:pPr>
              <w:pStyle w:val="ListParagraph"/>
              <w:rPr>
                <w:rFonts w:asciiTheme="majorHAnsi" w:hAnsiTheme="majorHAnsi" w:cstheme="majorHAnsi"/>
                <w:color w:val="000000"/>
              </w:rPr>
            </w:pPr>
          </w:p>
          <w:p w14:paraId="436A8DA4" w14:textId="174A9FDA" w:rsidR="00BF7666" w:rsidRPr="00F74534" w:rsidRDefault="00C93AC8" w:rsidP="00F74534">
            <w:pPr>
              <w:pStyle w:val="ListParagraph"/>
              <w:numPr>
                <w:ilvl w:val="0"/>
                <w:numId w:val="4"/>
              </w:numPr>
              <w:spacing w:after="120" w:line="249" w:lineRule="auto"/>
              <w:ind w:right="79"/>
              <w:rPr>
                <w:rFonts w:asciiTheme="majorHAnsi" w:hAnsiTheme="majorHAnsi" w:cstheme="majorHAnsi"/>
                <w:color w:val="000000"/>
              </w:rPr>
            </w:pPr>
            <w:r w:rsidRPr="00510E65">
              <w:rPr>
                <w:rFonts w:asciiTheme="majorHAnsi" w:hAnsiTheme="majorHAnsi" w:cstheme="majorHAnsi"/>
                <w:b/>
                <w:color w:val="000000"/>
              </w:rPr>
              <w:t>Policies and Procedures</w:t>
            </w:r>
            <w:r w:rsidR="00510E65">
              <w:rPr>
                <w:rFonts w:asciiTheme="majorHAnsi" w:hAnsiTheme="majorHAnsi" w:cstheme="majorHAnsi"/>
                <w:color w:val="000000"/>
              </w:rPr>
              <w:t>:</w:t>
            </w:r>
            <w:r>
              <w:rPr>
                <w:rFonts w:asciiTheme="majorHAnsi" w:hAnsiTheme="majorHAnsi" w:cstheme="majorHAnsi"/>
                <w:color w:val="000000"/>
              </w:rPr>
              <w:t xml:space="preserve"> Developing, maintaining and updating financial policies and procedures that support the growing charity, where relevant.</w:t>
            </w:r>
          </w:p>
          <w:p w14:paraId="69C8A118" w14:textId="77777777" w:rsidR="008F0CC3" w:rsidRPr="008F0CC3" w:rsidRDefault="008F0CC3" w:rsidP="008F0CC3">
            <w:pPr>
              <w:pStyle w:val="ListParagraph"/>
              <w:rPr>
                <w:rFonts w:asciiTheme="majorHAnsi" w:hAnsiTheme="majorHAnsi" w:cstheme="majorHAnsi"/>
                <w:color w:val="000000"/>
              </w:rPr>
            </w:pPr>
          </w:p>
          <w:p w14:paraId="50D911B9" w14:textId="77777777" w:rsidR="00A5703A" w:rsidRPr="00510E65" w:rsidRDefault="00CD15C4" w:rsidP="00510E65">
            <w:pPr>
              <w:pStyle w:val="ListParagraph"/>
              <w:numPr>
                <w:ilvl w:val="0"/>
                <w:numId w:val="4"/>
              </w:numPr>
              <w:spacing w:after="120" w:line="249" w:lineRule="auto"/>
              <w:ind w:right="79"/>
              <w:rPr>
                <w:rFonts w:asciiTheme="majorHAnsi" w:hAnsiTheme="majorHAnsi" w:cstheme="majorHAnsi"/>
                <w:color w:val="000000"/>
              </w:rPr>
            </w:pPr>
            <w:r w:rsidRPr="00510E65">
              <w:rPr>
                <w:b/>
                <w:color w:val="000000"/>
              </w:rPr>
              <w:t>Attend</w:t>
            </w:r>
            <w:r w:rsidR="00154B3E" w:rsidRPr="00510E65">
              <w:rPr>
                <w:b/>
                <w:color w:val="000000"/>
              </w:rPr>
              <w:t>ing</w:t>
            </w:r>
            <w:r w:rsidRPr="00510E65">
              <w:rPr>
                <w:b/>
                <w:color w:val="000000"/>
              </w:rPr>
              <w:t xml:space="preserve"> regular SYCLS team meetings</w:t>
            </w:r>
            <w:r w:rsidR="00510E65">
              <w:rPr>
                <w:color w:val="000000"/>
              </w:rPr>
              <w:t>:</w:t>
            </w:r>
            <w:r w:rsidR="0061765B" w:rsidRPr="00C93AC8">
              <w:rPr>
                <w:color w:val="000000"/>
              </w:rPr>
              <w:t xml:space="preserve"> The monthly SYCLS team meetings and supervision play a key role in feeling part of the SYCLS staff team.</w:t>
            </w:r>
          </w:p>
        </w:tc>
      </w:tr>
    </w:tbl>
    <w:p w14:paraId="6D22D54B" w14:textId="77777777" w:rsidR="00F62428" w:rsidRDefault="00F62428">
      <w:pPr>
        <w:spacing w:after="5" w:line="249" w:lineRule="auto"/>
        <w:ind w:left="28" w:right="79" w:hanging="10"/>
        <w:rPr>
          <w:color w:val="000000"/>
        </w:rPr>
      </w:pPr>
    </w:p>
    <w:tbl>
      <w:tblPr>
        <w:tblStyle w:val="a3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1"/>
        <w:gridCol w:w="7815"/>
      </w:tblGrid>
      <w:tr w:rsidR="00F62428" w14:paraId="153D7F18" w14:textId="77777777">
        <w:tc>
          <w:tcPr>
            <w:tcW w:w="2641" w:type="dxa"/>
          </w:tcPr>
          <w:p w14:paraId="6C5D7DDA" w14:textId="77777777" w:rsidR="00F62428" w:rsidRDefault="008B2062">
            <w:pPr>
              <w:ind w:left="28" w:right="79" w:hanging="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Expectations of Post-holder</w:t>
            </w:r>
          </w:p>
          <w:p w14:paraId="59B20BB4" w14:textId="77777777" w:rsidR="00F62428" w:rsidRDefault="00F62428" w:rsidP="008B2062">
            <w:pPr>
              <w:ind w:left="28" w:right="79" w:hanging="10"/>
              <w:rPr>
                <w:color w:val="000000"/>
              </w:rPr>
            </w:pPr>
          </w:p>
        </w:tc>
        <w:tc>
          <w:tcPr>
            <w:tcW w:w="7815" w:type="dxa"/>
          </w:tcPr>
          <w:p w14:paraId="1E77EDCE" w14:textId="77777777" w:rsidR="005E019A" w:rsidRDefault="00510E65" w:rsidP="005E019A">
            <w:pPr>
              <w:spacing w:line="256" w:lineRule="auto"/>
            </w:pPr>
            <w:r>
              <w:t>Essential skills/attributes:</w:t>
            </w:r>
          </w:p>
          <w:p w14:paraId="79EAC383" w14:textId="77777777" w:rsidR="00510E65" w:rsidRDefault="00510E65" w:rsidP="005E019A">
            <w:pPr>
              <w:spacing w:line="256" w:lineRule="auto"/>
            </w:pPr>
          </w:p>
          <w:p w14:paraId="3E5B63F6" w14:textId="77777777" w:rsidR="00A5703A" w:rsidRDefault="00BA4B50" w:rsidP="00510E65">
            <w:pPr>
              <w:pStyle w:val="ListParagraph"/>
              <w:numPr>
                <w:ilvl w:val="0"/>
                <w:numId w:val="10"/>
              </w:numPr>
              <w:spacing w:line="256" w:lineRule="auto"/>
            </w:pPr>
            <w:r w:rsidRPr="007A7FD4">
              <w:t>Passion for SYCLS vision and values</w:t>
            </w:r>
          </w:p>
          <w:p w14:paraId="5316B972" w14:textId="77777777" w:rsidR="00403E62" w:rsidRDefault="00855DE0" w:rsidP="00510E65">
            <w:pPr>
              <w:pStyle w:val="ListParagraph"/>
              <w:numPr>
                <w:ilvl w:val="0"/>
                <w:numId w:val="10"/>
              </w:numPr>
              <w:spacing w:line="256" w:lineRule="auto"/>
            </w:pPr>
            <w:r>
              <w:t xml:space="preserve">Demonstrable experience of working </w:t>
            </w:r>
            <w:r w:rsidR="00D326F2">
              <w:t>with charity/third sector finances</w:t>
            </w:r>
          </w:p>
          <w:p w14:paraId="29D52587" w14:textId="11CB01BF" w:rsidR="005E019A" w:rsidRDefault="005E019A" w:rsidP="00510E65">
            <w:pPr>
              <w:pStyle w:val="ListParagraph"/>
              <w:numPr>
                <w:ilvl w:val="0"/>
                <w:numId w:val="10"/>
              </w:numPr>
              <w:spacing w:line="256" w:lineRule="auto"/>
            </w:pPr>
            <w:r>
              <w:t>5 GCSEs A-C (including maths), AAT, ACCA (part qualified), CIMA (part qualified) or Qualified by Experience</w:t>
            </w:r>
          </w:p>
          <w:p w14:paraId="340EA7EC" w14:textId="51598D62" w:rsidR="00C52838" w:rsidRDefault="00C52838" w:rsidP="00510E65">
            <w:pPr>
              <w:pStyle w:val="ListParagraph"/>
              <w:numPr>
                <w:ilvl w:val="0"/>
                <w:numId w:val="10"/>
              </w:numPr>
              <w:spacing w:line="256" w:lineRule="auto"/>
            </w:pPr>
            <w:r>
              <w:t>Good working knowledge of QuickBooks</w:t>
            </w:r>
          </w:p>
          <w:p w14:paraId="6D58EDE9" w14:textId="0D4179F8" w:rsidR="00C52838" w:rsidRPr="00257373" w:rsidRDefault="00C52838" w:rsidP="00510E65">
            <w:pPr>
              <w:pStyle w:val="ListParagraph"/>
              <w:numPr>
                <w:ilvl w:val="0"/>
                <w:numId w:val="10"/>
              </w:numPr>
              <w:spacing w:line="256" w:lineRule="auto"/>
            </w:pPr>
            <w:r w:rsidRPr="00257373">
              <w:t>Excellent working knowledge of Excel, a proficiency with Microsoft Office generally, and professional approach to emails and reports</w:t>
            </w:r>
          </w:p>
          <w:p w14:paraId="23F0D412" w14:textId="0FC96EB1" w:rsidR="00C52838" w:rsidRPr="00257373" w:rsidRDefault="00C52838" w:rsidP="00C52838">
            <w:pPr>
              <w:pStyle w:val="ListParagraph"/>
              <w:numPr>
                <w:ilvl w:val="0"/>
                <w:numId w:val="10"/>
              </w:numPr>
              <w:spacing w:line="256" w:lineRule="auto"/>
            </w:pPr>
            <w:r w:rsidRPr="00257373">
              <w:t>Understanding and working knowledge of accruals accounting, full cost accounting/recovery</w:t>
            </w:r>
            <w:r w:rsidR="00257373">
              <w:t xml:space="preserve"> and tracking both general and restricted funds</w:t>
            </w:r>
          </w:p>
          <w:p w14:paraId="2E1E090D" w14:textId="77777777" w:rsidR="008B2062" w:rsidRDefault="008B2062" w:rsidP="00510E65">
            <w:pPr>
              <w:pStyle w:val="ListParagraph"/>
              <w:numPr>
                <w:ilvl w:val="0"/>
                <w:numId w:val="10"/>
              </w:numPr>
              <w:spacing w:line="256" w:lineRule="auto"/>
            </w:pPr>
            <w:r w:rsidRPr="007A7FD4">
              <w:t>Excellent</w:t>
            </w:r>
            <w:r w:rsidR="00A5703A">
              <w:t xml:space="preserve"> interpersonal </w:t>
            </w:r>
            <w:r w:rsidR="005E019A">
              <w:t xml:space="preserve">and communication </w:t>
            </w:r>
            <w:r w:rsidR="00A5703A">
              <w:t>skills</w:t>
            </w:r>
            <w:r w:rsidR="00435B93">
              <w:t xml:space="preserve"> </w:t>
            </w:r>
            <w:r w:rsidR="005E019A">
              <w:t xml:space="preserve">with an </w:t>
            </w:r>
            <w:r w:rsidR="00D326F2">
              <w:t>ability to work with and advise non-financial directors</w:t>
            </w:r>
            <w:r w:rsidR="005E019A">
              <w:t xml:space="preserve"> in a clear manner</w:t>
            </w:r>
          </w:p>
          <w:p w14:paraId="514E0C77" w14:textId="77777777" w:rsidR="00D326F2" w:rsidRDefault="00D326F2" w:rsidP="00510E65">
            <w:pPr>
              <w:pStyle w:val="ListParagraph"/>
              <w:numPr>
                <w:ilvl w:val="0"/>
                <w:numId w:val="10"/>
              </w:numPr>
              <w:spacing w:line="256" w:lineRule="auto"/>
            </w:pPr>
            <w:r>
              <w:t xml:space="preserve">Disciplined at managing own time and workload, with the flexibility required </w:t>
            </w:r>
            <w:r w:rsidR="005E019A">
              <w:t xml:space="preserve">for </w:t>
            </w:r>
            <w:r>
              <w:t xml:space="preserve">working </w:t>
            </w:r>
            <w:r w:rsidR="005E019A">
              <w:t>in</w:t>
            </w:r>
            <w:r>
              <w:t xml:space="preserve"> a small, rapidly growing, charity</w:t>
            </w:r>
          </w:p>
          <w:p w14:paraId="43D6C5A0" w14:textId="0EDB470D" w:rsidR="00D326F2" w:rsidRDefault="00663BA1" w:rsidP="00C52838">
            <w:pPr>
              <w:pStyle w:val="ListParagraph"/>
              <w:numPr>
                <w:ilvl w:val="0"/>
                <w:numId w:val="10"/>
              </w:numPr>
              <w:spacing w:line="256" w:lineRule="auto"/>
            </w:pPr>
            <w:r w:rsidRPr="007A7FD4">
              <w:t>Ability, and happy</w:t>
            </w:r>
            <w:r>
              <w:t>,</w:t>
            </w:r>
            <w:r w:rsidRPr="007A7FD4">
              <w:t xml:space="preserve"> to</w:t>
            </w:r>
            <w:r w:rsidR="00A5703A">
              <w:t xml:space="preserve"> work in a small team, and independently </w:t>
            </w:r>
          </w:p>
          <w:p w14:paraId="2168602C" w14:textId="77777777" w:rsidR="00D326F2" w:rsidRDefault="00D326F2" w:rsidP="00510E65">
            <w:pPr>
              <w:pStyle w:val="ListParagraph"/>
              <w:numPr>
                <w:ilvl w:val="0"/>
                <w:numId w:val="10"/>
              </w:numPr>
              <w:spacing w:line="256" w:lineRule="auto"/>
            </w:pPr>
            <w:r>
              <w:t>Organised with good attention to detail</w:t>
            </w:r>
          </w:p>
          <w:p w14:paraId="3C3E31AE" w14:textId="77777777" w:rsidR="00D326F2" w:rsidRDefault="00D326F2" w:rsidP="00510E65">
            <w:pPr>
              <w:pStyle w:val="ListParagraph"/>
              <w:numPr>
                <w:ilvl w:val="0"/>
                <w:numId w:val="10"/>
              </w:numPr>
              <w:spacing w:line="256" w:lineRule="auto"/>
            </w:pPr>
            <w:r>
              <w:t>Values integrity and transparency</w:t>
            </w:r>
          </w:p>
          <w:p w14:paraId="3904B4CE" w14:textId="77777777" w:rsidR="005E019A" w:rsidRDefault="005E019A" w:rsidP="005E019A">
            <w:pPr>
              <w:spacing w:line="256" w:lineRule="auto"/>
            </w:pPr>
          </w:p>
          <w:p w14:paraId="04991F74" w14:textId="77777777" w:rsidR="005E019A" w:rsidRDefault="005E019A" w:rsidP="005E019A">
            <w:pPr>
              <w:spacing w:line="256" w:lineRule="auto"/>
            </w:pPr>
            <w:r>
              <w:t>Additional, but not essential, attributes may include</w:t>
            </w:r>
            <w:r w:rsidR="00510E65">
              <w:t>:</w:t>
            </w:r>
          </w:p>
          <w:p w14:paraId="015845BD" w14:textId="77777777" w:rsidR="00510E65" w:rsidRDefault="00510E65" w:rsidP="005E019A">
            <w:pPr>
              <w:spacing w:line="256" w:lineRule="auto"/>
            </w:pPr>
          </w:p>
          <w:p w14:paraId="327817A9" w14:textId="77777777" w:rsidR="005E019A" w:rsidRDefault="005E019A" w:rsidP="00510E65">
            <w:pPr>
              <w:pStyle w:val="ListParagraph"/>
              <w:numPr>
                <w:ilvl w:val="0"/>
                <w:numId w:val="11"/>
              </w:numPr>
              <w:spacing w:line="256" w:lineRule="auto"/>
            </w:pPr>
            <w:r>
              <w:t>Experience of grant funding monitoring and reporting</w:t>
            </w:r>
          </w:p>
          <w:p w14:paraId="44308A7C" w14:textId="77777777" w:rsidR="00D326F2" w:rsidRPr="00BF7666" w:rsidRDefault="005E019A" w:rsidP="00D326F2">
            <w:pPr>
              <w:pStyle w:val="ListParagraph"/>
              <w:numPr>
                <w:ilvl w:val="0"/>
                <w:numId w:val="11"/>
              </w:numPr>
              <w:spacing w:line="256" w:lineRule="auto"/>
            </w:pPr>
            <w:r>
              <w:t>Experience and working knowledge of budget forecasting</w:t>
            </w:r>
          </w:p>
        </w:tc>
      </w:tr>
    </w:tbl>
    <w:p w14:paraId="734174D0" w14:textId="77777777" w:rsidR="00F62428" w:rsidRDefault="00F62428">
      <w:pPr>
        <w:spacing w:after="120" w:line="240" w:lineRule="auto"/>
        <w:ind w:left="28" w:right="79" w:hanging="10"/>
        <w:rPr>
          <w:color w:val="000000"/>
        </w:rPr>
      </w:pPr>
    </w:p>
    <w:tbl>
      <w:tblPr>
        <w:tblStyle w:val="a5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0"/>
        <w:gridCol w:w="7816"/>
      </w:tblGrid>
      <w:tr w:rsidR="00F62428" w14:paraId="01CC9A98" w14:textId="77777777">
        <w:tc>
          <w:tcPr>
            <w:tcW w:w="2640" w:type="dxa"/>
          </w:tcPr>
          <w:p w14:paraId="312B3923" w14:textId="77777777" w:rsidR="00F62428" w:rsidRDefault="000C390A">
            <w:pPr>
              <w:ind w:left="28" w:right="79" w:hanging="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Additional Information</w:t>
            </w:r>
          </w:p>
          <w:p w14:paraId="623BCB01" w14:textId="77777777" w:rsidR="00F62428" w:rsidRDefault="00F62428">
            <w:pPr>
              <w:ind w:left="28" w:right="79" w:hanging="10"/>
              <w:rPr>
                <w:color w:val="000000"/>
              </w:rPr>
            </w:pPr>
          </w:p>
          <w:p w14:paraId="2AE7D6A8" w14:textId="77777777" w:rsidR="00F62428" w:rsidRDefault="00F62428">
            <w:pPr>
              <w:ind w:left="28" w:right="79" w:hanging="10"/>
              <w:rPr>
                <w:color w:val="000000"/>
              </w:rPr>
            </w:pPr>
          </w:p>
          <w:p w14:paraId="1B22B716" w14:textId="77777777" w:rsidR="00F62428" w:rsidRDefault="00F62428">
            <w:pPr>
              <w:spacing w:after="120" w:line="249" w:lineRule="auto"/>
              <w:ind w:left="28" w:right="79" w:hanging="10"/>
              <w:rPr>
                <w:color w:val="000000"/>
              </w:rPr>
            </w:pPr>
          </w:p>
          <w:p w14:paraId="1DD6887B" w14:textId="77777777" w:rsidR="00F62428" w:rsidRDefault="00F62428">
            <w:pPr>
              <w:spacing w:after="120" w:line="249" w:lineRule="auto"/>
              <w:ind w:left="28" w:right="79" w:hanging="10"/>
              <w:rPr>
                <w:color w:val="000000"/>
              </w:rPr>
            </w:pPr>
          </w:p>
          <w:p w14:paraId="4A3EA715" w14:textId="77777777" w:rsidR="00F62428" w:rsidRDefault="00F62428" w:rsidP="00BA4B50">
            <w:pPr>
              <w:spacing w:after="120" w:line="249" w:lineRule="auto"/>
              <w:ind w:right="79"/>
              <w:rPr>
                <w:color w:val="000000"/>
              </w:rPr>
            </w:pPr>
          </w:p>
        </w:tc>
        <w:tc>
          <w:tcPr>
            <w:tcW w:w="7816" w:type="dxa"/>
          </w:tcPr>
          <w:p w14:paraId="609CA6A5" w14:textId="2E1E7750" w:rsidR="007E22D9" w:rsidRDefault="007E22D9">
            <w:pPr>
              <w:spacing w:after="120" w:line="249" w:lineRule="auto"/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We </w:t>
            </w:r>
            <w:r w:rsidR="00C52838">
              <w:rPr>
                <w:color w:val="000000"/>
              </w:rPr>
              <w:t xml:space="preserve">currently have a staff team of </w:t>
            </w:r>
            <w:r w:rsidR="00257373">
              <w:rPr>
                <w:color w:val="000000"/>
              </w:rPr>
              <w:t>18</w:t>
            </w:r>
            <w:r w:rsidR="00C52838">
              <w:rPr>
                <w:color w:val="000000"/>
              </w:rPr>
              <w:t xml:space="preserve"> people, most of whom are off-site,</w:t>
            </w:r>
            <w:r w:rsidR="00360531">
              <w:rPr>
                <w:color w:val="000000"/>
              </w:rPr>
              <w:t xml:space="preserve"> </w:t>
            </w:r>
            <w:r w:rsidR="00B751AF">
              <w:rPr>
                <w:color w:val="000000"/>
              </w:rPr>
              <w:t>and</w:t>
            </w:r>
            <w:r>
              <w:rPr>
                <w:color w:val="000000"/>
              </w:rPr>
              <w:t xml:space="preserve"> a number of off-site volunteers. This means the </w:t>
            </w:r>
            <w:r w:rsidR="00403E62">
              <w:rPr>
                <w:color w:val="000000"/>
              </w:rPr>
              <w:t>post-holder</w:t>
            </w:r>
            <w:r>
              <w:rPr>
                <w:color w:val="000000"/>
              </w:rPr>
              <w:t xml:space="preserve"> will be </w:t>
            </w:r>
            <w:r w:rsidR="00B751AF">
              <w:rPr>
                <w:color w:val="000000"/>
              </w:rPr>
              <w:t xml:space="preserve">part of a small </w:t>
            </w:r>
            <w:r w:rsidR="00360531">
              <w:rPr>
                <w:color w:val="000000"/>
              </w:rPr>
              <w:t>office</w:t>
            </w:r>
            <w:r w:rsidR="00B751AF">
              <w:rPr>
                <w:color w:val="000000"/>
              </w:rPr>
              <w:t xml:space="preserve"> team</w:t>
            </w:r>
            <w:r w:rsidR="00C52838">
              <w:rPr>
                <w:color w:val="000000"/>
              </w:rPr>
              <w:t xml:space="preserve"> of </w:t>
            </w:r>
            <w:r w:rsidR="00257373">
              <w:rPr>
                <w:color w:val="000000"/>
              </w:rPr>
              <w:t xml:space="preserve">6 </w:t>
            </w:r>
            <w:r w:rsidR="00B751AF">
              <w:rPr>
                <w:color w:val="000000"/>
              </w:rPr>
              <w:t xml:space="preserve">whilst </w:t>
            </w:r>
            <w:r w:rsidR="00360531">
              <w:rPr>
                <w:color w:val="000000"/>
              </w:rPr>
              <w:t>also communicating</w:t>
            </w:r>
            <w:r w:rsidR="00B751AF">
              <w:rPr>
                <w:color w:val="000000"/>
              </w:rPr>
              <w:t xml:space="preserve"> with a range of people across </w:t>
            </w:r>
            <w:r w:rsidR="00360531">
              <w:rPr>
                <w:color w:val="000000"/>
              </w:rPr>
              <w:t>our Partner Organisations and volunteer base.</w:t>
            </w:r>
            <w:r w:rsidR="00DA27FC">
              <w:rPr>
                <w:color w:val="000000"/>
              </w:rPr>
              <w:t xml:space="preserve"> </w:t>
            </w:r>
          </w:p>
          <w:p w14:paraId="74B1F5DC" w14:textId="77777777" w:rsidR="007321F2" w:rsidRDefault="00360531" w:rsidP="004F0531">
            <w:pPr>
              <w:spacing w:after="120" w:line="249" w:lineRule="auto"/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>We value investing in the continuing professional development of staff and volunteers. The direction this takes will depend on who is recruited</w:t>
            </w:r>
            <w:r w:rsidR="004F0531">
              <w:rPr>
                <w:color w:val="000000"/>
              </w:rPr>
              <w:t xml:space="preserve">. As a minimum </w:t>
            </w:r>
            <w:r w:rsidR="004F0531">
              <w:rPr>
                <w:color w:val="000000"/>
              </w:rPr>
              <w:lastRenderedPageBreak/>
              <w:t>all our staff and volunteers have opportunity to attend regular modules in subjects related to our core objectives.</w:t>
            </w:r>
          </w:p>
          <w:p w14:paraId="6A31E4AB" w14:textId="65FAE485" w:rsidR="00044B80" w:rsidRDefault="00044B80" w:rsidP="004F0531">
            <w:pPr>
              <w:spacing w:after="120" w:line="249" w:lineRule="auto"/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>The role is for</w:t>
            </w:r>
            <w:r w:rsidR="00446656">
              <w:rPr>
                <w:color w:val="000000"/>
              </w:rPr>
              <w:t xml:space="preserve"> </w:t>
            </w:r>
            <w:r w:rsidR="00257373">
              <w:rPr>
                <w:color w:val="000000"/>
              </w:rPr>
              <w:t>18</w:t>
            </w:r>
            <w:r w:rsidR="00C5283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hours per week – there is some flexibility in terms of the pattern of working hours across the week.</w:t>
            </w:r>
          </w:p>
          <w:p w14:paraId="171E55C1" w14:textId="2A35D83B" w:rsidR="005242CD" w:rsidRDefault="00102A37" w:rsidP="004F0531">
            <w:pPr>
              <w:spacing w:after="120" w:line="249" w:lineRule="auto"/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>We will be asking for references from an employe</w:t>
            </w:r>
            <w:r w:rsidR="00257373">
              <w:rPr>
                <w:color w:val="000000"/>
              </w:rPr>
              <w:t xml:space="preserve">r </w:t>
            </w:r>
            <w:r>
              <w:rPr>
                <w:color w:val="000000"/>
              </w:rPr>
              <w:t>as part of the recruitment process.</w:t>
            </w:r>
          </w:p>
        </w:tc>
      </w:tr>
    </w:tbl>
    <w:p w14:paraId="215365A7" w14:textId="77777777" w:rsidR="00F62428" w:rsidRDefault="00F62428">
      <w:pPr>
        <w:spacing w:after="120" w:line="240" w:lineRule="auto"/>
        <w:ind w:left="28" w:right="79" w:hanging="10"/>
        <w:rPr>
          <w:color w:val="000000"/>
        </w:rPr>
      </w:pPr>
    </w:p>
    <w:tbl>
      <w:tblPr>
        <w:tblStyle w:val="a7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F62428" w14:paraId="6D5DEAD6" w14:textId="77777777">
        <w:tc>
          <w:tcPr>
            <w:tcW w:w="10456" w:type="dxa"/>
          </w:tcPr>
          <w:p w14:paraId="176F867F" w14:textId="77777777" w:rsidR="00F62428" w:rsidRDefault="00BA4B50" w:rsidP="00F47FA5">
            <w:pPr>
              <w:ind w:left="28" w:right="79" w:hanging="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Estimate of</w:t>
            </w:r>
            <w:r w:rsidR="000C390A">
              <w:rPr>
                <w:b/>
                <w:color w:val="000000"/>
              </w:rPr>
              <w:t xml:space="preserve"> travel</w:t>
            </w:r>
          </w:p>
          <w:p w14:paraId="2C8783EA" w14:textId="77777777" w:rsidR="003915C2" w:rsidRPr="00F47FA5" w:rsidRDefault="003915C2">
            <w:pPr>
              <w:ind w:left="28" w:right="79" w:hanging="10"/>
              <w:rPr>
                <w:color w:val="000000"/>
                <w:sz w:val="18"/>
                <w:szCs w:val="18"/>
              </w:rPr>
            </w:pPr>
          </w:p>
          <w:p w14:paraId="65DC7050" w14:textId="77777777" w:rsidR="007321F2" w:rsidRDefault="00BF7666" w:rsidP="00F47FA5">
            <w:pPr>
              <w:ind w:left="28" w:right="79" w:hanging="10"/>
              <w:rPr>
                <w:color w:val="000000"/>
              </w:rPr>
            </w:pPr>
            <w:r>
              <w:rPr>
                <w:color w:val="000000"/>
              </w:rPr>
              <w:t xml:space="preserve">This role is </w:t>
            </w:r>
            <w:r w:rsidR="00BA4B50" w:rsidRPr="00BA4B50">
              <w:rPr>
                <w:color w:val="000000"/>
              </w:rPr>
              <w:t xml:space="preserve">based </w:t>
            </w:r>
            <w:r w:rsidR="004F0531">
              <w:rPr>
                <w:color w:val="000000"/>
              </w:rPr>
              <w:t>at SYCLS offices in Sheffield.</w:t>
            </w:r>
          </w:p>
          <w:p w14:paraId="54CD91C4" w14:textId="77777777" w:rsidR="0061765B" w:rsidRPr="00BA4B50" w:rsidRDefault="0061765B" w:rsidP="004F0531">
            <w:pPr>
              <w:ind w:right="79"/>
              <w:rPr>
                <w:color w:val="000000"/>
              </w:rPr>
            </w:pPr>
          </w:p>
        </w:tc>
      </w:tr>
    </w:tbl>
    <w:p w14:paraId="4706FD64" w14:textId="77777777" w:rsidR="00F62428" w:rsidRDefault="00F62428" w:rsidP="007E22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1765B" w14:paraId="58E31B59" w14:textId="77777777" w:rsidTr="0061765B">
        <w:tc>
          <w:tcPr>
            <w:tcW w:w="10456" w:type="dxa"/>
          </w:tcPr>
          <w:p w14:paraId="7233C3A9" w14:textId="77777777" w:rsidR="0061765B" w:rsidRDefault="0061765B" w:rsidP="007E22D9">
            <w:r>
              <w:rPr>
                <w:b/>
              </w:rPr>
              <w:t>Time Frame</w:t>
            </w:r>
          </w:p>
          <w:p w14:paraId="46E61E89" w14:textId="77777777" w:rsidR="0061765B" w:rsidRDefault="0061765B" w:rsidP="007E22D9"/>
          <w:p w14:paraId="052E363B" w14:textId="2CD9F01A" w:rsidR="0061765B" w:rsidRPr="0061765B" w:rsidRDefault="00154B3E" w:rsidP="007E22D9">
            <w:r>
              <w:t>I</w:t>
            </w:r>
            <w:r w:rsidR="0061765B">
              <w:t>nterview</w:t>
            </w:r>
            <w:r>
              <w:t xml:space="preserve">s will be held </w:t>
            </w:r>
            <w:r w:rsidR="00257373">
              <w:t>during weeks commencing 7</w:t>
            </w:r>
            <w:r w:rsidR="00257373" w:rsidRPr="00257373">
              <w:rPr>
                <w:vertAlign w:val="superscript"/>
              </w:rPr>
              <w:t>th</w:t>
            </w:r>
            <w:r w:rsidR="00257373">
              <w:t xml:space="preserve"> April</w:t>
            </w:r>
            <w:r w:rsidR="0061765B">
              <w:t xml:space="preserve">, therefore </w:t>
            </w:r>
            <w:r>
              <w:t xml:space="preserve">we </w:t>
            </w:r>
            <w:r w:rsidR="0061765B">
              <w:t xml:space="preserve">welcome CV applications by </w:t>
            </w:r>
            <w:r w:rsidR="003545EF">
              <w:t>Mon</w:t>
            </w:r>
            <w:r w:rsidR="00257373">
              <w:t xml:space="preserve">day </w:t>
            </w:r>
            <w:r w:rsidR="003545EF">
              <w:t>31</w:t>
            </w:r>
            <w:r w:rsidR="003545EF" w:rsidRPr="003545EF">
              <w:rPr>
                <w:vertAlign w:val="superscript"/>
              </w:rPr>
              <w:t>st</w:t>
            </w:r>
            <w:r w:rsidR="003545EF">
              <w:t xml:space="preserve"> </w:t>
            </w:r>
            <w:r w:rsidR="00257373">
              <w:t xml:space="preserve">March 5pm </w:t>
            </w:r>
            <w:r w:rsidR="0061765B">
              <w:t>stating your experience, relevant training and qualifications, and giving</w:t>
            </w:r>
            <w:r w:rsidR="00A3557B">
              <w:t xml:space="preserve"> examples of how you meet the Post-holder expectations. Please also include a covering letter stating why you are interested in the position. These should be </w:t>
            </w:r>
            <w:r w:rsidR="00A3557B" w:rsidRPr="00257373">
              <w:t xml:space="preserve">emailed </w:t>
            </w:r>
            <w:r w:rsidR="00C52838" w:rsidRPr="00257373">
              <w:t xml:space="preserve">(and addressed to) </w:t>
            </w:r>
            <w:r w:rsidR="00446656" w:rsidRPr="00257373">
              <w:t xml:space="preserve">Linda Gascoyne, Co-CEO at </w:t>
            </w:r>
            <w:r w:rsidR="00A3557B" w:rsidRPr="00257373">
              <w:t>linda@sycls.co.uk</w:t>
            </w:r>
          </w:p>
        </w:tc>
      </w:tr>
    </w:tbl>
    <w:p w14:paraId="1B9CFBBA" w14:textId="772C8298" w:rsidR="0061765B" w:rsidRDefault="0061765B" w:rsidP="007E22D9"/>
    <w:sectPr w:rsidR="0061765B" w:rsidSect="00BF7666">
      <w:footerReference w:type="default" r:id="rId9"/>
      <w:pgSz w:w="11906" w:h="16838" w:code="9"/>
      <w:pgMar w:top="720" w:right="720" w:bottom="567" w:left="720" w:header="709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D005A" w14:textId="77777777" w:rsidR="00176133" w:rsidRDefault="00176133" w:rsidP="008F13E8">
      <w:pPr>
        <w:spacing w:after="0" w:line="240" w:lineRule="auto"/>
      </w:pPr>
      <w:r>
        <w:separator/>
      </w:r>
    </w:p>
  </w:endnote>
  <w:endnote w:type="continuationSeparator" w:id="0">
    <w:p w14:paraId="06A06494" w14:textId="77777777" w:rsidR="00176133" w:rsidRDefault="00176133" w:rsidP="008F1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5EF52" w14:textId="77777777" w:rsidR="008F13E8" w:rsidRDefault="008F13E8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1F4D1A0C" wp14:editId="6BED0D55">
          <wp:extent cx="68580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on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1C7F5" w14:textId="77777777" w:rsidR="00176133" w:rsidRDefault="00176133" w:rsidP="008F13E8">
      <w:pPr>
        <w:spacing w:after="0" w:line="240" w:lineRule="auto"/>
      </w:pPr>
      <w:r>
        <w:separator/>
      </w:r>
    </w:p>
  </w:footnote>
  <w:footnote w:type="continuationSeparator" w:id="0">
    <w:p w14:paraId="08F5D911" w14:textId="77777777" w:rsidR="00176133" w:rsidRDefault="00176133" w:rsidP="008F1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8CF"/>
    <w:multiLevelType w:val="hybridMultilevel"/>
    <w:tmpl w:val="008678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F01EA"/>
    <w:multiLevelType w:val="hybridMultilevel"/>
    <w:tmpl w:val="9056DE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3C5771"/>
    <w:multiLevelType w:val="hybridMultilevel"/>
    <w:tmpl w:val="4814B232"/>
    <w:lvl w:ilvl="0" w:tplc="0809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3" w15:restartNumberingAfterBreak="0">
    <w:nsid w:val="11B8050F"/>
    <w:multiLevelType w:val="hybridMultilevel"/>
    <w:tmpl w:val="82F44262"/>
    <w:lvl w:ilvl="0" w:tplc="0809000F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4" w15:restartNumberingAfterBreak="0">
    <w:nsid w:val="1CFD5BF6"/>
    <w:multiLevelType w:val="hybridMultilevel"/>
    <w:tmpl w:val="5C361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DF1A27"/>
    <w:multiLevelType w:val="hybridMultilevel"/>
    <w:tmpl w:val="060A00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14D7E"/>
    <w:multiLevelType w:val="hybridMultilevel"/>
    <w:tmpl w:val="2A1013C6"/>
    <w:lvl w:ilvl="0" w:tplc="0809000F">
      <w:start w:val="1"/>
      <w:numFmt w:val="decimal"/>
      <w:lvlText w:val="%1."/>
      <w:lvlJc w:val="left"/>
      <w:pPr>
        <w:ind w:left="388" w:hanging="360"/>
      </w:pPr>
    </w:lvl>
    <w:lvl w:ilvl="1" w:tplc="08090019" w:tentative="1">
      <w:start w:val="1"/>
      <w:numFmt w:val="lowerLetter"/>
      <w:lvlText w:val="%2."/>
      <w:lvlJc w:val="left"/>
      <w:pPr>
        <w:ind w:left="1108" w:hanging="360"/>
      </w:pPr>
    </w:lvl>
    <w:lvl w:ilvl="2" w:tplc="0809001B" w:tentative="1">
      <w:start w:val="1"/>
      <w:numFmt w:val="lowerRoman"/>
      <w:lvlText w:val="%3."/>
      <w:lvlJc w:val="right"/>
      <w:pPr>
        <w:ind w:left="1828" w:hanging="180"/>
      </w:pPr>
    </w:lvl>
    <w:lvl w:ilvl="3" w:tplc="0809000F" w:tentative="1">
      <w:start w:val="1"/>
      <w:numFmt w:val="decimal"/>
      <w:lvlText w:val="%4."/>
      <w:lvlJc w:val="left"/>
      <w:pPr>
        <w:ind w:left="2548" w:hanging="360"/>
      </w:pPr>
    </w:lvl>
    <w:lvl w:ilvl="4" w:tplc="08090019" w:tentative="1">
      <w:start w:val="1"/>
      <w:numFmt w:val="lowerLetter"/>
      <w:lvlText w:val="%5."/>
      <w:lvlJc w:val="left"/>
      <w:pPr>
        <w:ind w:left="3268" w:hanging="360"/>
      </w:pPr>
    </w:lvl>
    <w:lvl w:ilvl="5" w:tplc="0809001B" w:tentative="1">
      <w:start w:val="1"/>
      <w:numFmt w:val="lowerRoman"/>
      <w:lvlText w:val="%6."/>
      <w:lvlJc w:val="right"/>
      <w:pPr>
        <w:ind w:left="3988" w:hanging="180"/>
      </w:pPr>
    </w:lvl>
    <w:lvl w:ilvl="6" w:tplc="0809000F" w:tentative="1">
      <w:start w:val="1"/>
      <w:numFmt w:val="decimal"/>
      <w:lvlText w:val="%7."/>
      <w:lvlJc w:val="left"/>
      <w:pPr>
        <w:ind w:left="4708" w:hanging="360"/>
      </w:pPr>
    </w:lvl>
    <w:lvl w:ilvl="7" w:tplc="08090019" w:tentative="1">
      <w:start w:val="1"/>
      <w:numFmt w:val="lowerLetter"/>
      <w:lvlText w:val="%8."/>
      <w:lvlJc w:val="left"/>
      <w:pPr>
        <w:ind w:left="5428" w:hanging="360"/>
      </w:pPr>
    </w:lvl>
    <w:lvl w:ilvl="8" w:tplc="08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66AE615B"/>
    <w:multiLevelType w:val="hybridMultilevel"/>
    <w:tmpl w:val="4B5EB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F346B0"/>
    <w:multiLevelType w:val="multilevel"/>
    <w:tmpl w:val="87F2DE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6160B8D"/>
    <w:multiLevelType w:val="hybridMultilevel"/>
    <w:tmpl w:val="530A39E2"/>
    <w:lvl w:ilvl="0" w:tplc="CB003520">
      <w:start w:val="1"/>
      <w:numFmt w:val="bullet"/>
      <w:lvlText w:val="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0" w15:restartNumberingAfterBreak="0">
    <w:nsid w:val="7DDF1CF2"/>
    <w:multiLevelType w:val="hybridMultilevel"/>
    <w:tmpl w:val="6E5E8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428"/>
    <w:rsid w:val="00044B80"/>
    <w:rsid w:val="00080A28"/>
    <w:rsid w:val="0008327D"/>
    <w:rsid w:val="000A6011"/>
    <w:rsid w:val="000A647F"/>
    <w:rsid w:val="000C390A"/>
    <w:rsid w:val="000C7ED5"/>
    <w:rsid w:val="00102A37"/>
    <w:rsid w:val="0015105A"/>
    <w:rsid w:val="00154B3E"/>
    <w:rsid w:val="00156B44"/>
    <w:rsid w:val="00156EE4"/>
    <w:rsid w:val="00176133"/>
    <w:rsid w:val="001D0C0E"/>
    <w:rsid w:val="001F32FD"/>
    <w:rsid w:val="00257373"/>
    <w:rsid w:val="002A3D5E"/>
    <w:rsid w:val="002D3BC3"/>
    <w:rsid w:val="002E27B9"/>
    <w:rsid w:val="002E72C1"/>
    <w:rsid w:val="00303C16"/>
    <w:rsid w:val="00334422"/>
    <w:rsid w:val="00347937"/>
    <w:rsid w:val="003545EF"/>
    <w:rsid w:val="00360531"/>
    <w:rsid w:val="003915C2"/>
    <w:rsid w:val="003D0560"/>
    <w:rsid w:val="003D1D9E"/>
    <w:rsid w:val="003E47AC"/>
    <w:rsid w:val="003F3EFC"/>
    <w:rsid w:val="00403E62"/>
    <w:rsid w:val="00435B93"/>
    <w:rsid w:val="004444FC"/>
    <w:rsid w:val="00446656"/>
    <w:rsid w:val="004857B5"/>
    <w:rsid w:val="004F0531"/>
    <w:rsid w:val="004F0616"/>
    <w:rsid w:val="004F3B61"/>
    <w:rsid w:val="004F79A7"/>
    <w:rsid w:val="00510E65"/>
    <w:rsid w:val="005242CD"/>
    <w:rsid w:val="005448E6"/>
    <w:rsid w:val="0059645D"/>
    <w:rsid w:val="005A7A8C"/>
    <w:rsid w:val="005E019A"/>
    <w:rsid w:val="005E1F99"/>
    <w:rsid w:val="0061765B"/>
    <w:rsid w:val="00663BA1"/>
    <w:rsid w:val="006E3DC6"/>
    <w:rsid w:val="006F220F"/>
    <w:rsid w:val="00726790"/>
    <w:rsid w:val="00727E6A"/>
    <w:rsid w:val="007321F2"/>
    <w:rsid w:val="00752970"/>
    <w:rsid w:val="00756CB8"/>
    <w:rsid w:val="007A7FD4"/>
    <w:rsid w:val="007E22D9"/>
    <w:rsid w:val="008007F8"/>
    <w:rsid w:val="00814385"/>
    <w:rsid w:val="0081447F"/>
    <w:rsid w:val="00855DE0"/>
    <w:rsid w:val="00896E5F"/>
    <w:rsid w:val="008B2062"/>
    <w:rsid w:val="008F0CC3"/>
    <w:rsid w:val="008F13E8"/>
    <w:rsid w:val="009052B9"/>
    <w:rsid w:val="009078FD"/>
    <w:rsid w:val="009110D1"/>
    <w:rsid w:val="00911BA5"/>
    <w:rsid w:val="00940E0F"/>
    <w:rsid w:val="00941767"/>
    <w:rsid w:val="00955B2B"/>
    <w:rsid w:val="00960AF5"/>
    <w:rsid w:val="009670E1"/>
    <w:rsid w:val="009F16B5"/>
    <w:rsid w:val="00A24EDA"/>
    <w:rsid w:val="00A25D65"/>
    <w:rsid w:val="00A31AC6"/>
    <w:rsid w:val="00A33227"/>
    <w:rsid w:val="00A3557B"/>
    <w:rsid w:val="00A5703A"/>
    <w:rsid w:val="00A713E4"/>
    <w:rsid w:val="00A93899"/>
    <w:rsid w:val="00A96D3A"/>
    <w:rsid w:val="00AA4C7F"/>
    <w:rsid w:val="00AB07CD"/>
    <w:rsid w:val="00AB3F24"/>
    <w:rsid w:val="00AF10A5"/>
    <w:rsid w:val="00B31C9D"/>
    <w:rsid w:val="00B35E73"/>
    <w:rsid w:val="00B64190"/>
    <w:rsid w:val="00B751AF"/>
    <w:rsid w:val="00BA4B50"/>
    <w:rsid w:val="00BA74D6"/>
    <w:rsid w:val="00BB412C"/>
    <w:rsid w:val="00BB4B50"/>
    <w:rsid w:val="00BE0FAB"/>
    <w:rsid w:val="00BE7CF3"/>
    <w:rsid w:val="00BF43EF"/>
    <w:rsid w:val="00BF7666"/>
    <w:rsid w:val="00C10850"/>
    <w:rsid w:val="00C12B1E"/>
    <w:rsid w:val="00C173D5"/>
    <w:rsid w:val="00C430A5"/>
    <w:rsid w:val="00C52838"/>
    <w:rsid w:val="00C57538"/>
    <w:rsid w:val="00C60C8D"/>
    <w:rsid w:val="00C7658A"/>
    <w:rsid w:val="00C8035A"/>
    <w:rsid w:val="00C93AC8"/>
    <w:rsid w:val="00CD15C4"/>
    <w:rsid w:val="00CE6154"/>
    <w:rsid w:val="00CF40EC"/>
    <w:rsid w:val="00D326F2"/>
    <w:rsid w:val="00D458CD"/>
    <w:rsid w:val="00DA27FC"/>
    <w:rsid w:val="00DE0617"/>
    <w:rsid w:val="00DE2FC4"/>
    <w:rsid w:val="00EA25F1"/>
    <w:rsid w:val="00EF23F8"/>
    <w:rsid w:val="00F105CA"/>
    <w:rsid w:val="00F1591D"/>
    <w:rsid w:val="00F47FA5"/>
    <w:rsid w:val="00F62428"/>
    <w:rsid w:val="00F74534"/>
    <w:rsid w:val="00FD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539D9"/>
  <w15:docId w15:val="{E1A5CD98-AFE3-4ECA-976D-9031395A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BF43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3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20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1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3E8"/>
  </w:style>
  <w:style w:type="paragraph" w:styleId="Footer">
    <w:name w:val="footer"/>
    <w:basedOn w:val="Normal"/>
    <w:link w:val="FooterChar"/>
    <w:uiPriority w:val="99"/>
    <w:unhideWhenUsed/>
    <w:rsid w:val="008F1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3E8"/>
  </w:style>
  <w:style w:type="character" w:styleId="UnresolvedMention">
    <w:name w:val="Unresolved Mention"/>
    <w:basedOn w:val="DefaultParagraphFont"/>
    <w:uiPriority w:val="99"/>
    <w:semiHidden/>
    <w:unhideWhenUsed/>
    <w:rsid w:val="00955B2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17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cls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41A79-3BBC-40D9-B16E-E219C6AA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Sycls Staff</dc:creator>
  <cp:lastModifiedBy>Sycls Staff</cp:lastModifiedBy>
  <cp:revision>2</cp:revision>
  <cp:lastPrinted>2021-12-17T14:01:00Z</cp:lastPrinted>
  <dcterms:created xsi:type="dcterms:W3CDTF">2025-03-11T11:20:00Z</dcterms:created>
  <dcterms:modified xsi:type="dcterms:W3CDTF">2025-03-11T11:20:00Z</dcterms:modified>
</cp:coreProperties>
</file>